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2158-B</w:t>
        <w:t xml:space="preserve">.  </w:t>
      </w:r>
      <w:r>
        <w:rPr>
          <w:b/>
        </w:rPr>
        <w:t xml:space="preserve">Food, food additives and food products containing adult use cannabis not adulterated</w:t>
      </w:r>
    </w:p>
    <w:p>
      <w:pPr>
        <w:jc w:val="both"/>
        <w:spacing w:before="100" w:after="100"/>
        <w:ind w:start="360"/>
        <w:ind w:firstLine="360"/>
      </w:pPr>
      <w:r>
        <w:rPr/>
      </w:r>
      <w:r>
        <w:rPr/>
      </w:r>
      <w:r>
        <w:t xml:space="preserve">Notwithstanding any provision of law to the contrary, food, food additives or food products that contain adult use cannabis are not considered to be adulterated under this subchapter based solely on the inclusion of adult use cannabis.  For the purposes of this section, "adult use cannabis" has the same meaning as in </w:t>
      </w:r>
      <w:r>
        <w:t>Title 28‑B, section 102‑A,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§1 (NEW). PL 2021, c. 669, §5 (REV). PL 2023, c. 679,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§2158-B. Food, food additives and food products containing adult use cannabis not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§2158-B. Food, food additives and food products containing adult use cannabis not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§2158-B. FOOD, FOOD ADDITIVES AND FOOD PRODUCTS CONTAINING ADULT USE CANNABIS NOT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