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Licensing conditions</w:t>
      </w:r>
    </w:p>
    <w:p>
      <w:pPr>
        <w:jc w:val="both"/>
        <w:spacing w:before="100" w:after="100"/>
        <w:ind w:start="360"/>
        <w:ind w:firstLine="360"/>
      </w:pPr>
      <w:r>
        <w:rPr/>
      </w:r>
      <w:r>
        <w:rPr/>
      </w:r>
      <w:r>
        <w:t xml:space="preserve">Notwithstanding any other provisions of this chapter, the commissioner may issue a license required under </w:t>
      </w:r>
      <w:r>
        <w:t>section 2167</w:t>
      </w:r>
      <w:r>
        <w:t xml:space="preserve">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1979, c. 672, Pt. A, §58 (NEW).]</w:t>
      </w:r>
    </w:p>
    <w:p>
      <w:pPr>
        <w:jc w:val="both"/>
        <w:spacing w:before="100" w:after="0"/>
        <w:ind w:start="360"/>
        <w:ind w:firstLine="360"/>
      </w:pPr>
      <w:r>
        <w:rPr>
          <w:b/>
        </w:rPr>
        <w:t>1</w:t>
        <w:t xml:space="preserve">.  </w:t>
      </w:r>
      <w:r>
        <w:rPr>
          <w:b/>
        </w:rPr>
        <w:t xml:space="preserve">Adopted rules, regulations; code of standards.</w:t>
        <w:t xml:space="preserve"> </w:t>
      </w:r>
      <w:r>
        <w:t xml:space="preserve"> </w:t>
      </w:r>
      <w:r>
        <w:t xml:space="preserve">The municipality involved has adopted a set of rules and regulations, ordinances or other code of standards for the establishments, which has been approved by the commissioner and which is consistent with the regulations used by the commissioner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2</w:t>
        <w:t xml:space="preserve">.  </w:t>
      </w:r>
      <w:r>
        <w:rPr>
          <w:b/>
        </w:rPr>
        <w:t xml:space="preserve">Inspection to ascertain intent.</w:t>
        <w:t xml:space="preserve"> </w:t>
      </w:r>
      <w:r>
        <w:t xml:space="preserve"> </w:t>
      </w:r>
      <w:r>
        <w:t xml:space="preserve">The commissioner may from time to time inspect the municipally-inspected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3</w:t>
        <w:t xml:space="preserve">.  </w:t>
      </w:r>
      <w:r>
        <w:rPr>
          <w:b/>
        </w:rPr>
        <w:t xml:space="preserve">Inspection reports.</w:t>
        <w:t xml:space="preserve"> </w:t>
      </w:r>
      <w:r>
        <w:t xml:space="preserve"> </w:t>
      </w:r>
      <w:r>
        <w:t xml:space="preserve">The municipalities shall furnish the commissioner copies of its inspection reports relating to the inspection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4</w:t>
        <w:t xml:space="preserve">.  </w:t>
      </w:r>
      <w:r>
        <w:rPr>
          <w:b/>
        </w:rPr>
        <w:t xml:space="preserve">Charge.</w:t>
        <w:t xml:space="preserve"> </w:t>
      </w:r>
      <w:r>
        <w:t xml:space="preserve"> </w:t>
      </w:r>
      <w:r>
        <w:t xml:space="preserve">Municipalities may not charge the commissioner for performing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5</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commissioner as set forth in </w:t>
      </w:r>
      <w:r>
        <w:t>section 2168</w:t>
      </w:r>
      <w:r>
        <w:t xml:space="preserve"> shall be waived. The licensee shall be required to pay the commissioner a sum not to exceed $5 to support the costs of mailing and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6</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§2171. LICENSING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