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Sale of smoked alewives</w:t>
      </w:r>
    </w:p>
    <w:p>
      <w:pPr>
        <w:jc w:val="both"/>
        <w:spacing w:before="100" w:after="100"/>
        <w:ind w:start="360"/>
        <w:ind w:firstLine="360"/>
      </w:pPr>
      <w:r>
        <w:rPr/>
      </w:r>
      <w:r>
        <w:rPr/>
      </w:r>
      <w:r>
        <w:t xml:space="preserve">Smoked alewives offered for sale need not be free of viscera prior to processing.  A person who sells or offers for sale alewives smoked with the viscera shall post a clearly legible sign at the point of display of the alewives that states, "This product is not fully cooked.  Eating prior to fully cooking poses a health risk."</w:t>
      </w:r>
      <w:r>
        <w:t xml:space="preserve">  </w:t>
      </w:r>
      <w:r xmlns:wp="http://schemas.openxmlformats.org/drawingml/2010/wordprocessingDrawing" xmlns:w15="http://schemas.microsoft.com/office/word/2012/wordml">
        <w:rPr>
          <w:rFonts w:ascii="Arial" w:hAnsi="Arial" w:cs="Arial"/>
          <w:sz w:val="22"/>
          <w:szCs w:val="22"/>
        </w:rPr>
        <w:t xml:space="preserve">[PL 1997,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§2173. Sale of smoked alewives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Sale of smoked alewives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§2173. SALE OF SMOKED ALEWIVES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