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including, but not limited to, a limited liability company, partnership or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2023, c. 679, Pt. A, §5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§5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  The cultivation area must be enclosed and equipped with locks or other security devices that permit access only by a person authorized to have access to the area under this chapter.</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A, §6 (AMD).]</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§6 (AMD).]</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646, Pt. A, §25)</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646, Pt. A, §25 (RPR).]</w:t>
      </w:r>
    </w:p>
    <w:p>
      <w:pPr>
        <w:jc w:val="both"/>
        <w:spacing w:before="100" w:after="0"/>
        <w:ind w:start="720"/>
      </w:pPr>
      <w:r>
        <w:rPr/>
        <w:t>E</w:t>
        <w:t xml:space="preserve">.  </w:t>
      </w:r>
      <w:r>
        <w:rPr>
          <w:b/>
        </w:rPr>
        <w:t>(CONFLICT: Text as repealed and replaced by PL 2023, c. 679, Pt. A, §7)</w:t>
        <w:t xml:space="preserve"> </w:t>
      </w:r>
      <w:r>
        <w:rPr/>
      </w:r>
      <w:r>
        <w:t xml:space="preserve">A cannabis testing facility shall obtain and must be able to produce, upon demand of the office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679, Pt. A, §7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§25 (AMD); PL 2023, c. 679, Pt. A, §7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PL 2023, c. 646, Pt. A, §25 (AMD). PL 2023, c. 679,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§2423-A. AUTHORIZED CONDUCT FOR THE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