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2423-D</w:t>
        <w:t xml:space="preserve">.  </w:t>
      </w:r>
      <w:r>
        <w:rPr>
          <w:b/>
        </w:rPr>
        <w:t xml:space="preserve">Authorized conduct by a visiting qualifying patient</w:t>
      </w:r>
    </w:p>
    <w:p>
      <w:pPr>
        <w:jc w:val="both"/>
        <w:spacing w:before="100" w:after="100"/>
        <w:ind w:start="360"/>
        <w:ind w:firstLine="360"/>
      </w:pPr>
      <w:r>
        <w:rPr/>
      </w:r>
      <w:r>
        <w:rPr/>
      </w:r>
      <w:r>
        <w:t xml:space="preserve">A visiting qualifying patient from another jurisdiction that authorizes the medical use of cannabis pursuant to a law recognized by the department who possesses a valid medical cannabis certification from that other jurisdiction and photographic identification or a driver's license from that jurisdiction may engage in conduct authorized for a qualifying patient under this chapter, except that a visiting qualifying patient may not:</w:t>
      </w:r>
      <w:r>
        <w:t xml:space="preserve">  </w:t>
      </w:r>
      <w:r xmlns:wp="http://schemas.openxmlformats.org/drawingml/2010/wordprocessingDrawing" xmlns:w15="http://schemas.microsoft.com/office/word/2012/wordml">
        <w:rPr>
          <w:rFonts w:ascii="Arial" w:hAnsi="Arial" w:cs="Arial"/>
          <w:sz w:val="22"/>
          <w:szCs w:val="22"/>
        </w:rPr>
        <w:t xml:space="preserve">[PL 2019, c. 209, §1 (AMD); PL 2021, c. 669, §5 (REV).]</w:t>
      </w:r>
    </w:p>
    <w:p>
      <w:pPr>
        <w:jc w:val="both"/>
        <w:spacing w:before="100" w:after="0"/>
        <w:ind w:start="360"/>
        <w:ind w:firstLine="360"/>
      </w:pPr>
      <w:r>
        <w:rPr>
          <w:b/>
        </w:rPr>
        <w:t>1</w:t>
        <w:t xml:space="preserve">.  </w:t>
      </w:r>
      <w:r>
        <w:rPr>
          <w:b/>
        </w:rPr>
        <w:t xml:space="preserve">Cultivate.</w:t>
        <w:t xml:space="preserve"> </w:t>
      </w:r>
      <w:r>
        <w:t xml:space="preserve"> </w:t>
      </w:r>
      <w:r>
        <w:t xml:space="preserve">Cultivate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§7 (NEW); PL 2021, c. 669, §5 (REV).]</w:t>
      </w:r>
    </w:p>
    <w:p>
      <w:pPr>
        <w:jc w:val="both"/>
        <w:spacing w:before="100" w:after="0"/>
        <w:ind w:start="360"/>
        <w:ind w:firstLine="360"/>
      </w:pPr>
      <w:r>
        <w:rPr>
          <w:b/>
        </w:rPr>
        <w:t>2</w:t>
        <w:t xml:space="preserve">.  </w:t>
      </w:r>
      <w:r>
        <w:rPr>
          <w:b/>
        </w:rPr>
        <w:t xml:space="preserve">Possess.</w:t>
        <w:t xml:space="preserve"> </w:t>
      </w:r>
      <w:r>
        <w:t xml:space="preserve"> </w:t>
      </w:r>
      <w:r>
        <w:t xml:space="preserve">Possess more than 2 1/2 ounces of harvested cannabis in a 15-day period;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3</w:t>
        <w:t xml:space="preserve">.  </w:t>
      </w:r>
      <w:r>
        <w:rPr>
          <w:b/>
        </w:rPr>
        <w:t xml:space="preserve">Transfer or furnish.</w:t>
        <w:t xml:space="preserve"> </w:t>
      </w:r>
      <w:r>
        <w:t xml:space="preserve"> </w:t>
      </w:r>
      <w:r>
        <w:t xml:space="preserve">Transfer or furnish harvested cannabis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4</w:t>
        <w:t xml:space="preserve">.  </w:t>
      </w:r>
      <w:r>
        <w:rPr>
          <w:b/>
        </w:rPr>
        <w:t xml:space="preserve">Obtain.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(RP).]</w:t>
      </w:r>
    </w:p>
    <w:p>
      <w:pPr>
        <w:jc w:val="both"/>
        <w:spacing w:before="100" w:after="100"/>
        <w:ind w:start="360"/>
        <w:ind w:firstLine="360"/>
      </w:pPr>
      <w:r>
        <w:rPr/>
      </w:r>
      <w:r>
        <w:rPr/>
      </w:r>
      <w:r>
        <w:t xml:space="preserve">The department shall maintain a list of other jurisdictions that authorize the medical use of cannabis and the images of the valid medical cannabis certifications from those jurisdictions and make that information available to registered caregivers and registered dispensaries.</w:t>
      </w:r>
      <w:r>
        <w:t xml:space="preserve">  </w:t>
      </w:r>
      <w:r xmlns:wp="http://schemas.openxmlformats.org/drawingml/2010/wordprocessingDrawing" xmlns:w15="http://schemas.microsoft.com/office/word/2012/wordml">
        <w:rPr>
          <w:rFonts w:ascii="Arial" w:hAnsi="Arial" w:cs="Arial"/>
          <w:sz w:val="22"/>
          <w:szCs w:val="22"/>
        </w:rPr>
        <w:t xml:space="preserve">[PL 2019, c. 209,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§24 (NEW). PL 2009, c. 631, §51 (AFF). PL 2011, c. 407, Pt. B, §19 (AMD). PL 2013, c. 516, §9 (AMD). PL 2017, c. 452, §7 (AMD). PL 2019, c. 209,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§2423-D. Authorized conduct by a visiting qualifying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§2423-D. Authorized conduct by a visiting qualifying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§2423-D. AUTHORIZED CONDUCT BY A VISITING QUALIFYING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