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Registry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§§28-36 (AMD). PL 2009, c. 631, §51 (AFF). PL 2011, c. 383, §§2-4 (AMD). PL 2011, c. 407, Pt. B, §§23-29 (AMD). PL 2011, c. 691, Pt. A, §§21, 22 (AMD). RR 2013, c. 2, §33 (COR). PL 2013, c. 394, §§2-6 (AMD). PL 2013, c. 396, §§9-11 (AMD). PL 2013, c. 516, §§10-14 (AMD). PL 2013, c. 595, Pt. J, §1 (AMD). PL 2013, c. 595, Pt. J, §4 (AFF). PL 2015, c. 475, §§19-21 (AMD). RR 2017, c. 1, §13 (COR). PL 2017, c. 409, Pt. E, §§7, 8 (AMD). PL 2017, c. 447, §§16-18 (AMD). PL 2017, c. 452, §11 (RP). PL 2019, c. 331,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§2425. Registry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Registry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§2425. REGISTRY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