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2521-C</w:t>
        <w:t xml:space="preserve">.  </w:t>
      </w:r>
      <w:r>
        <w:rPr>
          <w:b/>
        </w:rPr>
        <w:t xml:space="preserve">Exemption of ritual slaughter</w:t>
      </w:r>
    </w:p>
    <w:p>
      <w:pPr>
        <w:jc w:val="both"/>
        <w:spacing w:before="100" w:after="100"/>
        <w:ind w:start="360"/>
        <w:ind w:firstLine="360"/>
      </w:pPr>
      <w:r>
        <w:rPr/>
      </w:r>
      <w:r>
        <w:rPr/>
      </w:r>
      <w:r>
        <w:t xml:space="preserve">This chapter may not be construed to prohibit, abridge or in any way hinder the religious freedom of a person or group. Notwithstanding any other provision of this chapter, in order to protect freedom of religion, ritual slaughter and the handling or other preparation of livestock for ritual slaughter are exempted from the terms of this chapter. For the purposes of this section the term "ritual slaughter" means slaughter in accordance with </w:t>
      </w:r>
      <w:r>
        <w:t>section 2521,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§2521-C. Exemption of ritual 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§2521-C. Exemption of ritual 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§2521-C. EXEMPTION OF RITUAL 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