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2524-A</w:t>
        <w:t xml:space="preserve">.  </w:t>
      </w:r>
      <w:r>
        <w:rPr>
          <w:b/>
        </w:rPr>
        <w:t xml:space="preserve">Action upon violation</w:t>
      </w:r>
    </w:p>
    <w:p>
      <w:pPr>
        <w:jc w:val="both"/>
        <w:spacing w:before="100" w:after="100"/>
        <w:ind w:start="360"/>
        <w:ind w:firstLine="360"/>
      </w:pPr>
      <w:r>
        <w:rPr/>
      </w:r>
      <w:r>
        <w:rPr/>
      </w:r>
      <w:r>
        <w:t xml:space="preserve">After discovery of a violation of this chapter or the rules adopted under this chapter, the commissioner may take any additional action against the registered, licensed or official establishment that the commissioner determines appropriate, including instituting a proceeding under </w:t>
      </w:r>
      <w:r>
        <w:t>section 2514, subsection 6</w:t>
      </w:r>
      <w:r>
        <w:t xml:space="preserve"> and causing a civil or criminal proceeding to be brought against the registered, licensed or official establishment.</w:t>
      </w:r>
      <w:r>
        <w:t xml:space="preserve">  </w:t>
      </w:r>
      <w:r xmlns:wp="http://schemas.openxmlformats.org/drawingml/2010/wordprocessingDrawing" xmlns:w15="http://schemas.microsoft.com/office/word/2012/wordml">
        <w:rPr>
          <w:rFonts w:ascii="Arial" w:hAnsi="Arial" w:cs="Arial"/>
          <w:sz w:val="22"/>
          <w:szCs w:val="22"/>
        </w:rPr>
        <w:t xml:space="preserve">[PL 2021, c. 64,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§2524-A. Action upon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§2524-A. Action upon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§2524-A. ACTION UPON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