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Administration</w:t>
      </w:r>
    </w:p>
    <w:p>
      <w:pPr>
        <w:jc w:val="both"/>
        <w:spacing w:before="100" w:after="100"/>
        <w:ind w:start="360"/>
        <w:ind w:firstLine="360"/>
      </w:pPr>
      <w:r>
        <w:rPr/>
      </w:r>
      <w:r>
        <w:rPr/>
      </w:r>
      <w:r>
        <w:t xml:space="preserve">To carry out this chapter, the commissioner is authorized and empowered to:</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Agreements.</w:t>
        <w:t xml:space="preserve"> </w:t>
      </w:r>
      <w:r>
        <w:t xml:space="preserve"> </w:t>
      </w:r>
      <w:r>
        <w:t xml:space="preserve">Enter into agreements, contracts or cooperative arrangements under such terms and conditions as the commissioner considers appropriate with other state, federal or interstate agencies, municipalities, education institutions, local health departments or other organizations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§128 (COR).]</w:t>
      </w:r>
    </w:p>
    <w:p>
      <w:pPr>
        <w:jc w:val="both"/>
        <w:spacing w:before="100" w:after="0"/>
        <w:ind w:start="360"/>
        <w:ind w:firstLine="360"/>
      </w:pPr>
      <w:r>
        <w:rPr>
          <w:b/>
        </w:rPr>
        <w:t>2</w:t>
        <w:t xml:space="preserve">.  </w:t>
      </w:r>
      <w:r>
        <w:rPr>
          <w:b/>
        </w:rPr>
        <w:t xml:space="preserve">Assistance.</w:t>
        <w:t xml:space="preserve"> </w:t>
      </w:r>
      <w:r>
        <w:t xml:space="preserve"> </w:t>
      </w:r>
      <w:r>
        <w:t xml:space="preserve">Receive financial and technical assistance from the Federal Government and other public or private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Program participation.</w:t>
        <w:t xml:space="preserve"> </w:t>
      </w:r>
      <w:r>
        <w:t xml:space="preserve"> </w:t>
      </w:r>
      <w:r>
        <w:t xml:space="preserve">Participate in related programs of the Federal Government, other states, interstate agencies or other public agencies 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w:t>
        <w:t xml:space="preserve">.  </w:t>
      </w:r>
      <w:r>
        <w:rPr>
          <w:b/>
        </w:rPr>
        <w:t xml:space="preserve">Fiscal control and accounting.</w:t>
        <w:t xml:space="preserve"> </w:t>
      </w:r>
      <w:r>
        <w:t xml:space="preserve"> </w:t>
      </w:r>
      <w:r>
        <w:t xml:space="preserve">Establish adequate fiscal controls and accounting procedures to assure proper disbursement of and accounting for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5</w:t>
        <w:t xml:space="preserve">.  </w:t>
      </w:r>
      <w:r>
        <w:rPr>
          <w:b/>
        </w:rPr>
        <w:t xml:space="preserve">Procedures.</w:t>
        <w:t xml:space="preserve"> </w:t>
      </w:r>
      <w:r>
        <w:t xml:space="preserve"> </w:t>
      </w:r>
      <w:r>
        <w:t xml:space="preserve">Adopt and implement adequate procedures to insure compliance with this chapter and rules and regulations promulgated hereunder, including procedures for the monitoring and inspection of public water systems;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6</w:t>
        <w:t xml:space="preserve">.  </w:t>
      </w:r>
      <w:r>
        <w:rPr>
          <w:b/>
        </w:rPr>
        <w:t xml:space="preserve">Advising other agencies.</w:t>
        <w:t xml:space="preserve"> </w:t>
      </w:r>
      <w:r>
        <w:t xml:space="preserve"> </w:t>
      </w:r>
      <w:r>
        <w:t xml:space="preserve">Advise other regulatory agencies of the department's rules, regulations and orders promulgated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r>
      <w:r>
        <w:rPr/>
      </w:r>
      <w:r>
        <w:t xml:space="preserve">Except as otherwise specifically provided by law, the commissioner may impose no standard, method or procedure upon any water utility, as defined in </w:t>
      </w:r>
      <w:r>
        <w:t>Title 35‑A, section 102</w:t>
      </w:r>
      <w:r>
        <w:t xml:space="preserve">, that is more stringent than required under the federal Safe Drinking Water Act, as amended, or rules promulgated under that Act by the Administrator of the United States Environmental Protection Agency, unless the particular standard, method or procedure has been adopted in a rule adopted according to the Maine Administrative Procedure Act and the rule specifies in detail the scientific basis justifying the more stringent standard, method or procedure and the precise criteria for when the standard, method or procedure applies to a water utility.</w:t>
      </w:r>
      <w:r>
        <w:t xml:space="preserve">  </w:t>
      </w:r>
      <w:r xmlns:wp="http://schemas.openxmlformats.org/drawingml/2010/wordprocessingDrawing" xmlns:w15="http://schemas.microsoft.com/office/word/2012/wordml">
        <w:rPr>
          <w:rFonts w:ascii="Arial" w:hAnsi="Arial" w:cs="Arial"/>
          <w:sz w:val="22"/>
          <w:szCs w:val="22"/>
        </w:rPr>
        <w:t xml:space="preserve">[PL 1993, c. 514,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1993, c. 514, §1 (AMD). RR 2021, c. 2, Pt. B, §128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