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§2622. CLASSIFICATION OF PUBLIC WATER SYSTEMS AND PARTS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