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Licenses</w:t>
      </w:r>
    </w:p>
    <w:p>
      <w:pPr>
        <w:jc w:val="both"/>
        <w:spacing w:before="100" w:after="100"/>
        <w:ind w:start="360"/>
        <w:ind w:firstLine="360"/>
      </w:pPr>
      <w:r>
        <w:rPr/>
      </w:r>
      <w:r>
        <w:rPr/>
      </w:r>
      <w:r>
        <w:t xml:space="preserve">The Board of Licensure of Water System Operators shall issue biennial licenses to individuals to act as operators.  The license must indicate the classification level of the systems or parts of systems for the operation of which the individual is qualified to act as an operator.</w:t>
      </w:r>
      <w:r>
        <w:t xml:space="preserve">  </w:t>
      </w:r>
      <w:r xmlns:wp="http://schemas.openxmlformats.org/drawingml/2010/wordprocessingDrawing" xmlns:w15="http://schemas.microsoft.com/office/word/2012/wordml">
        <w:rPr>
          <w:rFonts w:ascii="Arial" w:hAnsi="Arial" w:cs="Arial"/>
          <w:sz w:val="22"/>
          <w:szCs w:val="22"/>
        </w:rPr>
        <w:t xml:space="preserve">[PL 2003, c. 33, §6 (AMD).]</w:t>
      </w:r>
    </w:p>
    <w:p>
      <w:pPr>
        <w:jc w:val="both"/>
        <w:spacing w:before="100" w:after="100"/>
        <w:ind w:start="360"/>
        <w:ind w:firstLine="360"/>
      </w:pPr>
      <w:r>
        <w:rPr/>
      </w:r>
      <w:r>
        <w:rPr/>
      </w:r>
      <w:r>
        <w:t xml:space="preserve">The board may suspend or revoke a license of a certified operator when it is determined that the operator has practiced fraud or deception; that the operator has been negligent in that reasonable care, judgment or the application of knowledge or ability was not used in the performance of the operator's duties; or that the operator is incompetent or unable to perform the operator's duties properly.</w:t>
      </w:r>
      <w:r>
        <w:t xml:space="preserve">  </w:t>
      </w:r>
      <w:r xmlns:wp="http://schemas.openxmlformats.org/drawingml/2010/wordprocessingDrawing" xmlns:w15="http://schemas.microsoft.com/office/word/2012/wordml">
        <w:rPr>
          <w:rFonts w:ascii="Arial" w:hAnsi="Arial" w:cs="Arial"/>
          <w:sz w:val="22"/>
          <w:szCs w:val="22"/>
        </w:rPr>
        <w:t xml:space="preserve">[PL 1999, c. 688, §5 (AMD).]</w:t>
      </w:r>
    </w:p>
    <w:p>
      <w:pPr>
        <w:jc w:val="both"/>
        <w:spacing w:before="100" w:after="100"/>
        <w:ind w:start="360"/>
        <w:ind w:firstLine="360"/>
      </w:pPr>
      <w:r>
        <w:rPr/>
      </w:r>
      <w:r>
        <w:rPr/>
      </w:r>
      <w:r>
        <w:t xml:space="preserve">This chapter may not be construed to affect or prevent the practices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[RR 2017, c. 1, §14 (COR).]</w:t>
      </w:r>
    </w:p>
    <w:p>
      <w:pPr>
        <w:jc w:val="both"/>
        <w:spacing w:before="100" w:after="100"/>
        <w:ind w:start="360"/>
        <w:ind w:firstLine="360"/>
      </w:pPr>
      <w:r>
        <w:rPr/>
      </w:r>
      <w:r>
        <w:rPr/>
      </w:r>
      <w:r>
        <w:t xml:space="preserve">When the unexpired term of license of an applicant is or will be more than one year at the time of licensure, the commissioner may require the applicant to pay an additional fee not to exceed 1/2 the biennial license fee.</w:t>
      </w:r>
      <w:r>
        <w:t xml:space="preserve">  </w:t>
      </w:r>
      <w:r xmlns:wp="http://schemas.openxmlformats.org/drawingml/2010/wordprocessingDrawing" xmlns:w15="http://schemas.microsoft.com/office/word/2012/wordml">
        <w:rPr>
          <w:rFonts w:ascii="Arial" w:hAnsi="Arial" w:cs="Arial"/>
          <w:sz w:val="22"/>
          <w:szCs w:val="22"/>
        </w:rPr>
        <w:t xml:space="preserve">[PL 1985, c. 748,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§365 (RPR). PL 1983, c. 819, §A55 (AMD). PL 1985, c. 748, §27 (AMD). PL 1995, c. 442, §§3-5 (AMD). PL 1999, c. 688, §5 (AMD). PL 2003, c. 33, §6 (AMD). RR 2017, c. 1,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