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2628</w:t>
        <w:t xml:space="preserve">.  </w:t>
      </w:r>
      <w:r>
        <w:rPr>
          <w:b/>
        </w:rPr>
        <w:t xml:space="preserve">Rules</w:t>
      </w:r>
    </w:p>
    <w:p>
      <w:pPr>
        <w:jc w:val="both"/>
        <w:spacing w:before="100" w:after="100"/>
        <w:ind w:start="360"/>
        <w:ind w:firstLine="360"/>
      </w:pPr>
      <w:r>
        <w:rPr/>
      </w:r>
      <w:r>
        <w:rPr/>
      </w:r>
      <w:r>
        <w:t xml:space="preserve">The Board of Licensure of Water System Operators, in accordance with any other appropriate state laws, shall make such rules as are reasonably necessary to carry out the intent of this subchapter. The rules must include, but are not limited to, provisions establishing requirements for licensure and procedures for examination of candidates and such other provisions as are necessary for the administration of this subchapter.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§29 (AMD). PL 1995, c. 442, §7 (AMD). PL 2003, c. 33, §9 (AMD). PL 2011, c. 45,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