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2648</w:t>
        <w:t xml:space="preserve">.  </w:t>
      </w:r>
      <w:r>
        <w:rPr>
          <w:b/>
        </w:rPr>
        <w:t xml:space="preserve">Protection of intake of public water supply</w:t>
      </w:r>
    </w:p>
    <w:p>
      <w:pPr>
        <w:jc w:val="both"/>
        <w:spacing w:before="100" w:after="100"/>
        <w:ind w:start="360"/>
        <w:ind w:firstLine="360"/>
      </w:pPr>
      <w:r>
        <w:rPr/>
      </w:r>
      <w:r>
        <w:rPr/>
      </w:r>
      <w:r>
        <w:t xml:space="preserve">Any water utility or municipality is authorized, after consultation with the Commissioner of Inland Fisheries and Wildlife, the department and the Department of Agriculture, Conservation and Forestry and after conducting a public hearing in the affected town, to designate by buoys in water or markers on the ice in an area on a lake or pond from which water is taken, with a radius commencing at its point of intake. The radius may not exceed 400 feet and within that area a person may not anchor or moor a boat or carry on ice fishing or carry on any other activity designated by the water utility or municipality when such restriction is necessary to comply with primary or secondary drinking water regulations applicable to public water systems. Any such buoys placed in the water must be plainly marked as required by the Director of the Bureau of Parks and Lands under </w:t>
      </w:r>
      <w:r>
        <w:t>Title 12, section 1894</w:t>
      </w:r>
      <w:r>
        <w:t xml:space="preserve">. Any person violating this section must, on conviction,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§36 (AMD); PL 2011, c. 657, Pt. W, §§5, 7 (REV); PL 2013, c. 405, Pt. A, §24 (REV).]</w:t>
      </w:r>
    </w:p>
    <w:p>
      <w:pPr>
        <w:jc w:val="both"/>
        <w:spacing w:before="100" w:after="100"/>
        <w:ind w:start="360"/>
        <w:ind w:firstLine="360"/>
      </w:pPr>
      <w:r>
        <w:rPr/>
      </w:r>
      <w:r>
        <w:rPr/>
      </w:r>
      <w:r>
        <w:t xml:space="preserve">Nothing in this section shall be construed to limit in any way any private and special law granting a water utility or municipality greater controls for protecting the intake of its public water supply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1987, c. 192, §3 (AMD). PL 1991, c. 824, Pt. A, §42 (AMD). PL 1995, c. 502, Pt. E, §30 (AMD). PL 1997, c. 739, §11 (AMD). PL 1999, c. 127, Pt. A, §36 (AMD). PL 2011, c. 657, Pt. W, §§5,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§2648. Protection of intake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§2648. Protection of intake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§2648. PROTECTION OF INTAKE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