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Rules</w:t>
      </w:r>
    </w:p>
    <w:p>
      <w:pPr>
        <w:jc w:val="both"/>
        <w:spacing w:before="100" w:after="100"/>
        <w:ind w:start="360"/>
        <w:ind w:firstLine="360"/>
      </w:pPr>
      <w:r>
        <w:rPr/>
      </w:r>
      <w:r>
        <w:rPr/>
      </w:r>
      <w:r>
        <w:t xml:space="preserve">The department may adopt and enforce rules necessary to protect public health and safety and carry out the provisions of this chapter relating directly to the safe and sanitary design, construction and operation of public pools and spas.</w:t>
      </w:r>
      <w:r>
        <w:t xml:space="preserve">  </w:t>
      </w:r>
      <w:r xmlns:wp="http://schemas.openxmlformats.org/drawingml/2010/wordprocessingDrawing" xmlns:w15="http://schemas.microsoft.com/office/word/2012/wordml">
        <w:rPr>
          <w:rFonts w:ascii="Arial" w:hAnsi="Arial" w:cs="Arial"/>
          <w:sz w:val="22"/>
          <w:szCs w:val="22"/>
        </w:rPr>
        <w:t xml:space="preserve">[PL 2007,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