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Registration of births and deaths at Togus</w:t>
      </w:r>
    </w:p>
    <w:p>
      <w:pPr>
        <w:jc w:val="both"/>
        <w:spacing w:before="100" w:after="100"/>
        <w:ind w:start="360"/>
        <w:ind w:firstLine="360"/>
      </w:pPr>
      <w:r>
        <w:rPr/>
      </w:r>
      <w:r>
        <w:rPr/>
      </w:r>
      <w:r>
        <w:t xml:space="preserve">Certificates of live births, deaths and fetal deaths occurring at the federal facility known as Togus must be filed directly with the state registrar. The state registrar shall forward copies of all such certificates of live birth, death and fetal death to the clerk of the municipality where the parents of the child reside.</w:t>
      </w:r>
      <w:r>
        <w:t xml:space="preserve">  </w:t>
      </w:r>
      <w:r xmlns:wp="http://schemas.openxmlformats.org/drawingml/2010/wordprocessingDrawing" xmlns:w15="http://schemas.microsoft.com/office/word/2012/wordml">
        <w:rPr>
          <w:rFonts w:ascii="Arial" w:hAnsi="Arial" w:cs="Arial"/>
          <w:sz w:val="22"/>
          <w:szCs w:val="22"/>
        </w:rPr>
        <w:t xml:space="preserve">[PL 2011, c. 511,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§21 (AMD). PL 2009, c. 601, §9 (AMD). PL 2011, c. 511,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Registration of births and deaths at Togus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Registration of births and deaths at Togus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§2704. REGISTRATION OF BIRTHS AND DEATHS AT TOGUS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