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2761-A</w:t>
        <w:t xml:space="preserve">.  </w:t>
      </w:r>
      <w:r>
        <w:rPr>
          <w:b/>
        </w:rPr>
        <w:t xml:space="preserve">Baptismal records in lieu of birth certificates</w:t>
      </w:r>
    </w:p>
    <w:p>
      <w:pPr>
        <w:jc w:val="both"/>
        <w:spacing w:before="100" w:after="100"/>
        <w:ind w:start="360"/>
        <w:ind w:firstLine="360"/>
      </w:pPr>
      <w:r>
        <w:rPr/>
      </w:r>
      <w:r>
        <w:rPr/>
      </w:r>
      <w:r>
        <w:t xml:space="preserve">Any Native American whose birth is not recorded pursuant to this Title relating to the registration of live births may, in lieu of a birth certificate, present an official copy of the baptismal record from the files of the mission where the Native American was baptized.  The baptismal record has the same evidentiary character as an unamended and undelayed birth certificate under </w:t>
      </w:r>
      <w:r>
        <w:t>section 2707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§C4 (NEW). PL 2009, c. 601,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§2761-A. Baptismal records in lieu of birth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§2761-A. Baptismal records in lieu of birth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§2761-A. BAPTISMAL RECORDS IN LIEU OF BIRTH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