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3028-C</w:t>
        <w:t xml:space="preserve">.  </w:t>
      </w:r>
      <w:r>
        <w:rPr>
          <w:b/>
        </w:rPr>
        <w:t xml:space="preserve">Disposal of nonsubstantial fragments and fluids; disposal of substantial fragments</w:t>
      </w:r>
    </w:p>
    <w:p>
      <w:pPr>
        <w:jc w:val="both"/>
        <w:spacing w:before="100" w:after="0"/>
        <w:ind w:start="360"/>
        <w:ind w:firstLine="360"/>
      </w:pPr>
      <w:r>
        <w:rPr>
          <w:b/>
        </w:rPr>
        <w:t>1</w:t>
        <w:t xml:space="preserve">.  </w:t>
      </w:r>
      <w:r>
        <w:rPr>
          <w:b/>
        </w:rPr>
        <w:t xml:space="preserve">Disposal of nonsubstantial body fragments and body fluids.</w:t>
        <w:t xml:space="preserve"> </w:t>
      </w:r>
      <w:r>
        <w:t xml:space="preserve"> </w:t>
      </w:r>
      <w:r>
        <w:t xml:space="preserve">Body fragments or body fluids retained for evidence, further study or documentation, or those that have been recovered after the body has been released from the custody of the medical examiner, may be disposed of according to the practices of the laboratory responsible for analysis, by the Office of Chief Medical Examiner or by the medical examiner or pathologist retaining those fragments or fluids, unless claimed in writing by the person responsible for burial.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§37 (AMD).]</w:t>
      </w:r>
    </w:p>
    <w:p>
      <w:pPr>
        <w:jc w:val="both"/>
        <w:spacing w:before="100" w:after="0"/>
        <w:ind w:start="360"/>
        <w:ind w:firstLine="360"/>
      </w:pPr>
      <w:r>
        <w:rPr>
          <w:b/>
        </w:rPr>
        <w:t>2</w:t>
        <w:t xml:space="preserve">.  </w:t>
      </w:r>
      <w:r>
        <w:rPr>
          <w:b/>
        </w:rPr>
        <w:t xml:space="preserve">Disposal of substantial body fragments.</w:t>
        <w:t xml:space="preserve"> </w:t>
      </w:r>
      <w:r>
        <w:t xml:space="preserve"> </w:t>
      </w:r>
      <w:r>
        <w:t xml:space="preserve">The Chief Medical Examiner may dispose of substantial fragments of bodies that have been retained for evidence, further study or documentation or that have been recovered after the rest of the body has been finally released, in accordance with </w:t>
      </w:r>
      <w:r>
        <w:t>section 3028‑A</w:t>
      </w:r>
      <w:r>
        <w:t xml:space="preserve">, unless claimed by the person responsible for burial.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611, §8 (NEW). PL 2017, c. 475, Pt. A,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§3028-C. Disposal of nonsubstantial fragments and fluids; disposal of substantial fragments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§3028-C. Disposal of nonsubstantial fragments and fluids; disposal of substantial fragments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§3028-C. DISPOSAL OF NONSUBSTANTIAL FRAGMENTS AND FLUIDS; DISPOSAL OF SUBSTANTIAL FRAGMENTS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