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Information upon request</w:t>
      </w:r>
    </w:p>
    <w:p>
      <w:pPr>
        <w:jc w:val="both"/>
        <w:spacing w:before="100" w:after="100"/>
        <w:ind w:start="360"/>
        <w:ind w:firstLine="360"/>
      </w:pPr>
      <w:r>
        <w:rPr/>
      </w:r>
      <w:r>
        <w:rPr/>
      </w:r>
      <w:r>
        <w:t xml:space="preserve">The commissioner shall give to the Governor or to the Legislature or any committee thereof at any time upon their request information and advice with reference to any charitable or correctional institution about which the commissioner has information. The officers in charge of any institution of a charitable or correctional nature under the inspection of the department and local boards or committees having any powers or duties relative to the management of the institution, and those who are in any way responsible for the administration of public funds used for the relief or maintenance of the poor, shall furnish to the department such information and statistics as may be demanded on such forms as the department may consider necessary to secure uniformity and accuracy in the statements.</w:t>
      </w:r>
      <w:r>
        <w:t xml:space="preserve">  </w:t>
      </w:r>
      <w:r xmlns:wp="http://schemas.openxmlformats.org/drawingml/2010/wordprocessingDrawing" xmlns:w15="http://schemas.microsoft.com/office/word/2012/wordml">
        <w:rPr>
          <w:rFonts w:ascii="Arial" w:hAnsi="Arial" w:cs="Arial"/>
          <w:sz w:val="22"/>
          <w:szCs w:val="22"/>
        </w:rPr>
        <w:t xml:space="preserve">[RR 2021, c. 2, Pt. B, §153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§223 (AMD). RR 2021, c. 2, Pt. B, §153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§3103. Information upon request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Information upon request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§3103. INFORMATION UPON REQUEST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