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 Availability of income between married couples in determination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 AVAILABILITY OF INCOME BETWEEN MARRIED COUPLES IN DETERMINATION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