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3174-III</w:t>
        <w:t xml:space="preserve">.  </w:t>
      </w:r>
      <w:r>
        <w:rPr>
          <w:b/>
        </w:rPr>
        <w:t xml:space="preserve">Reimbursement for donor breast milk</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pasteurized donor breast milk provided to an infant receiving benefits under this chapter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mother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100"/>
        <w:ind w:start="360"/>
      </w:pPr>
      <w:r>
        <w:rPr>
          <w:b w:val="true"/>
          <w:i/>
          <w:caps w:val="true"/>
        </w:rPr>
        <w:t xml:space="preserve">Revisor's Note: </w:t>
      </w:r>
      <w:r>
        <w:t>§3174-III. Reimbursement for comprehensive sexual and reproductive health care services (As enacted by PL 2021, c. 738, §1 is REALLOCATED TO TITLE 22, SECTION 3174-JJJ)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§3174-III. Reimbursement for donor breast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§3174-III. Reimbursement for donor breast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§3174-III. REIMBURSEMENT FOR DONOR BREAST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