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3174-MM</w:t>
        <w:t xml:space="preserve">.  </w:t>
      </w:r>
      <w:r>
        <w:rPr>
          <w:b/>
        </w:rPr>
        <w:t xml:space="preserve">Outpatient services reimbursement under the MaineCare program based on ambulatory payment classifications</w:t>
      </w:r>
    </w:p>
    <w:p>
      <w:pPr>
        <w:jc w:val="both"/>
        <w:spacing w:before="100" w:after="100"/>
        <w:ind w:start="360"/>
        <w:ind w:firstLine="360"/>
      </w:pPr>
      <w:r>
        <w:rPr/>
      </w:r>
      <w:r>
        <w:rPr/>
      </w:r>
      <w:r>
        <w:t xml:space="preserve">Beginning April 1, 2010, the Department of Health and Human Services shall begin to phase in a system to reimburse noncritical access hospitals for outpatient services under the MaineCare program an amount per patient service based on ambulatory payment classifications modeled on the system used by the federal Medicare program. The new ambulatory payment classifications must be budget neutral based on MaineCare payments for the same services in the year prior to the year of implementation. The new payment system must be implemented for each hospital at the beginning of the hospital's first fiscal year that commences on or after April 1, 2010.  The Department of Health and Human Services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CC,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§3174-MM. Outpatient services reimbursement under the MaineCare program based on ambulatory payment classifications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§3174-MM. Outpatient services reimbursement under the MaineCare program based on ambulatory payment classifications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§3174-MM. OUTPATIENT SERVICES REIMBURSEMENT UNDER THE MAINECARE PROGRAM BASED ON AMBULATORY PAYMENT CLASSIFICATIONS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