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3174-RR</w:t>
        <w:t xml:space="preserve">.  </w:t>
      </w:r>
      <w:r>
        <w:rPr>
          <w:b/>
        </w:rPr>
        <w:t xml:space="preserve">Dental hygienist reimbursement</w:t>
      </w:r>
    </w:p>
    <w:p>
      <w:pPr>
        <w:jc w:val="both"/>
        <w:spacing w:before="100" w:after="100"/>
        <w:ind w:start="360"/>
      </w:pPr>
      <w:r>
        <w:rPr>
          <w:b/>
        </w:rPr>
        <w:t>(REALLOCATED FROM TITLE 22, SECTION 3174-QQ)</w:t>
      </w:r>
    </w:p>
    <w:p>
      <w:pPr>
        <w:jc w:val="both"/>
        <w:spacing w:before="100" w:after="100"/>
        <w:ind w:start="360"/>
        <w:ind w:firstLine="360"/>
      </w:pPr>
      <w:r>
        <w:rPr>
          <w:b/>
        </w:rPr>
        <w:t>1</w:t>
        <w:t xml:space="preserve">.  </w:t>
      </w:r>
      <w:r>
        <w:rPr>
          <w:b/>
        </w:rPr>
        <w:t xml:space="preserve">Reimbursement.</w:t>
        <w:t xml:space="preserve"> </w:t>
      </w:r>
      <w:r>
        <w:t xml:space="preserve"> </w:t>
      </w:r>
      <w:r>
        <w:t xml:space="preserve">By October 1, 2012, the department shall provide for the reimbursement under the MaineCare program of independent practice dental hygienists practicing as authorized under </w:t>
      </w:r>
      <w:r>
        <w:t>Title 32, section 18375</w:t>
      </w:r>
      <w:r>
        <w:t xml:space="preserve"> for the following procedures:</w:t>
      </w:r>
    </w:p>
    <w:p>
      <w:pPr>
        <w:jc w:val="both"/>
        <w:spacing w:before="100" w:after="0"/>
        <w:ind w:start="720"/>
      </w:pPr>
      <w:r>
        <w:rPr/>
        <w:t>A</w:t>
        <w:t xml:space="preserve">.  </w:t>
      </w:r>
      <w:r>
        <w:rPr/>
      </w:r>
      <w:r>
        <w:t xml:space="preserve">Prophylaxis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B</w:t>
        <w:t xml:space="preserve">.  </w:t>
      </w:r>
      <w:r>
        <w:rPr/>
      </w:r>
      <w:r>
        <w:t xml:space="preserve">Topical application of fluoride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C</w:t>
        <w:t xml:space="preserve">.  </w:t>
      </w:r>
      <w:r>
        <w:rPr/>
      </w:r>
      <w:r>
        <w:t xml:space="preserve">Provision of oral hygiene instructions;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D</w:t>
        <w:t xml:space="preserve">.  </w:t>
      </w:r>
      <w:r>
        <w:rPr/>
      </w:r>
      <w:r>
        <w:t xml:space="preserve">The application of sealants;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E</w:t>
        <w:t xml:space="preserve">.  </w:t>
      </w:r>
      <w:r>
        <w:rPr/>
      </w:r>
      <w:r>
        <w:t xml:space="preserve">Temporary fillings; and</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F</w:t>
        <w:t xml:space="preserve">.  </w:t>
      </w:r>
      <w:r>
        <w:rPr/>
      </w:r>
      <w:r>
        <w:t xml:space="preserve">X-rays.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360"/>
      </w:pPr>
      <w:r>
        <w:rPr/>
      </w:r>
      <w:r>
        <w:rPr/>
      </w:r>
      <w:r>
        <w:t xml:space="preserve">Reimbursement must be provided to independent practice dental hygienists directly or to a federally qualified health center pursuant to </w:t>
      </w:r>
      <w:r>
        <w:t>section 3174‑V</w:t>
      </w:r>
      <w:r>
        <w:t xml:space="preserve"> when an independent practice dental hygienist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§4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2015, c. 429,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§3174-RR. Dental hygienist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§3174-RR. Dental hygienist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§3174-RR. DENTAL HYGIENIST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