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3174-XX</w:t>
        <w:t xml:space="preserve">.  </w:t>
      </w:r>
      <w:r>
        <w:rPr>
          <w:b/>
        </w:rPr>
        <w:t xml:space="preserve">Dental therapy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By October 1, 2015, the department shall provide for the reimbursement under the MaineCare program of dental therapists practicing as authorized under </w:t>
      </w:r>
      <w:r>
        <w:t>Title 32, section 18377</w:t>
      </w:r>
      <w:r>
        <w:t xml:space="preserve"> for the procedures identified in their scope of practice.  Reimbursement must be provided to dental therapists directly or to a federally qualified health center pursuant to </w:t>
      </w:r>
      <w:r>
        <w:t>section 3174‑V</w:t>
      </w:r>
      <w:r>
        <w:t xml:space="preserve"> when a dental therapist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 PL 2015, c. 429, §5 (AMD). PL 2019, c. 388,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§3174-XX. Dental therapy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§3174-XX. Dental therapy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§3174-XX. DENTAL THERAPY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