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3174-YY</w:t>
        <w:t xml:space="preserve">.  </w:t>
      </w:r>
      <w:r>
        <w:rPr>
          <w:b/>
        </w:rPr>
        <w:t xml:space="preserve">State educational Medicaid officer</w:t>
      </w:r>
    </w:p>
    <w:p>
      <w:pPr>
        <w:jc w:val="both"/>
        <w:spacing w:before="100" w:after="100"/>
        <w:ind w:start="360"/>
        <w:ind w:firstLine="360"/>
      </w:pPr>
      <w:r>
        <w:rPr/>
      </w:r>
      <w:r>
        <w:rPr/>
      </w:r>
      <w:r>
        <w:t xml:space="preserve">The commissioner shall designate an appropriate employee within the department as the state educational Medicaid officer to work in coordination with the Department of Education and school administrative units to maximize reimbursement for Medicaid services provided by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2015,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§3174-YY. State educational Medicaid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§3174-YY. State educational Medicaid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§3174-YY. STATE EDUCATIONAL MEDICAID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