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Approval;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 APPROVAL;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