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3476</w:t>
        <w:t xml:space="preserve">.  </w:t>
      </w:r>
      <w:r>
        <w:rPr>
          <w:b/>
        </w:rPr>
        <w:t xml:space="preserve">Spiritual treatment</w:t>
      </w:r>
    </w:p>
    <w:p>
      <w:pPr>
        <w:jc w:val="both"/>
        <w:spacing w:before="100" w:after="0"/>
        <w:ind w:start="360"/>
        <w:ind w:firstLine="360"/>
      </w:pPr>
      <w:r>
        <w:rPr>
          <w:b/>
        </w:rPr>
        <w:t>1</w:t>
        <w:t xml:space="preserve">.  </w:t>
      </w:r>
      <w:r>
        <w:rPr>
          <w:b/>
        </w:rPr>
        <w:t xml:space="preserve">Treatment not considered abuse, neglect or exploitation.</w:t>
        <w:t xml:space="preserve"> </w:t>
      </w:r>
      <w:r>
        <w:t xml:space="preserve"> </w:t>
      </w:r>
      <w:r>
        <w:t xml:space="preserve">An incapacitated or dependent adult shall not be considered to be abused, neglected or exploited solely because treatment is by spiritual means by an accredited practitioner of a recognized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2</w:t>
        <w:t xml:space="preserve">.  </w:t>
      </w:r>
      <w:r>
        <w:rPr>
          <w:b/>
        </w:rPr>
        <w:t xml:space="preserve">Treatment to be considered if requested.</w:t>
        <w:t xml:space="preserve"> </w:t>
      </w:r>
      <w:r>
        <w:t xml:space="preserve"> </w:t>
      </w:r>
      <w:r>
        <w:t xml:space="preserve">When medical treatment is authorized, under this chapter, treatment by spiritual means by an accredited practitioner of a recognized religious organization may also be considered if requested by the incapacitated or disabled adult or the adult's caretaker.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RR 2021, c. 2, Pt. B, §172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§3476. Spiritual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§3476. Spiritual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§3476. SPIRITUAL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