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§350-A. COST-OF-LIVING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