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3731-A</w:t>
        <w:t xml:space="preserve">.  </w:t>
      </w:r>
      <w:r>
        <w:rPr>
          <w:b/>
        </w:rPr>
        <w:t xml:space="preserve">Maine Child Care Affordability Program</w:t>
      </w:r>
    </w:p>
    <w:p>
      <w:pPr>
        <w:jc w:val="both"/>
        <w:spacing w:before="100" w:after="100"/>
        <w:ind w:start="360"/>
        <w:ind w:firstLine="360"/>
      </w:pPr>
      <w:r>
        <w:rPr/>
      </w:r>
      <w:r>
        <w:rPr/>
      </w:r>
      <w:r>
        <w:t xml:space="preserve">The Maine Child Care Affordability Program is established in the department to provide child care subsidies under this chapter in accordance with the principles described under </w:t>
      </w:r>
      <w:r>
        <w:t>section 3732</w:t>
      </w:r>
      <w:r>
        <w:t xml:space="preserve"> to support the high-quality child care needs of children and working families while also providing a living wage to early childhood educators.  Eligibility for child care subsidies under the Maine Child Care Affordability Program must be determined in accordance with this chapter and rules adopted pursuant to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VVV, §1 (NEW).]</w:t>
      </w:r>
    </w:p>
    <w:p>
      <w:pPr>
        <w:jc w:val="both"/>
        <w:spacing w:before="100" w:after="0"/>
        <w:ind w:start="360"/>
        <w:ind w:firstLine="360"/>
      </w:pPr>
      <w:r>
        <w:rPr>
          <w:b/>
        </w:rPr>
        <w:t>1</w:t>
        <w:t xml:space="preserve">.  </w:t>
      </w:r>
      <w:r>
        <w:rPr>
          <w:b/>
        </w:rPr>
        <w:t xml:space="preserve">State funding to support eligible families.</w:t>
        <w:t xml:space="preserve"> </w:t>
      </w:r>
      <w:r>
        <w:t xml:space="preserve"> </w:t>
      </w:r>
      <w:r>
        <w:t xml:space="preserve">Other Special Revenue Funds allocated for the purposes of supporting the Maine Child Care Affordability Program may be used to support any eligible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RRR, §1 (NEW).]</w:t>
      </w:r>
    </w:p>
    <w:p>
      <w:pPr>
        <w:jc w:val="both"/>
        <w:spacing w:before="100" w:after="0"/>
        <w:ind w:start="360"/>
        <w:ind w:firstLine="360"/>
      </w:pPr>
      <w:r>
        <w:rPr>
          <w:b/>
        </w:rPr>
        <w:t>2</w:t>
        <w:t xml:space="preserve">.  </w:t>
      </w:r>
      <w:r>
        <w:rPr>
          <w:b/>
        </w:rPr>
        <w:t xml:space="preserve">Federal funding.</w:t>
        <w:t xml:space="preserve"> </w:t>
      </w:r>
      <w:r>
        <w:t xml:space="preserve"> </w:t>
      </w:r>
      <w:r>
        <w:t xml:space="preserve">The department shall maximize federal funding available for child care and may not supplant federal funding with general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§1 (NEW). PL 2023, c. 643, Pt. RRR,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§3731-A. Maine Child Care Affordability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§3731-A. Maine Child Care Affordability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§3731-A. MAINE CHILD CARE AFFORDABILITY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