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Child care for ASPIRE-TANF participants</w:t>
      </w:r>
    </w:p>
    <w:p>
      <w:pPr>
        <w:jc w:val="both"/>
        <w:spacing w:before="100" w:after="100"/>
        <w:ind w:start="360"/>
        <w:ind w:firstLine="360"/>
      </w:pPr>
      <w:r>
        <w:rPr/>
      </w:r>
      <w:r>
        <w:rPr/>
      </w:r>
      <w:r>
        <w:t xml:space="preserve">The department shall ensure that all persons referred for participation in the State's ASPIRE-TANF program receive information regarding child care options from caseworkers who are knowledgeable about the range of child care subsidies available in this State and who can explain the relative advantages of each option.  This may be done directly by the department or by the department's designee.</w:t>
      </w:r>
      <w:r>
        <w:t xml:space="preserve">  </w:t>
      </w:r>
      <w:r xmlns:wp="http://schemas.openxmlformats.org/drawingml/2010/wordprocessingDrawing" xmlns:w15="http://schemas.microsoft.com/office/word/2012/wordml">
        <w:rPr>
          <w:rFonts w:ascii="Arial" w:hAnsi="Arial" w:cs="Arial"/>
          <w:sz w:val="22"/>
          <w:szCs w:val="22"/>
        </w:rPr>
        <w:t xml:space="preserve">[PL 1997, c. 530,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§3735. CHILD CARE FOR ASPIRE-TANF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