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3787</w:t>
        <w:t xml:space="preserve">.  </w:t>
      </w:r>
      <w:r>
        <w:rPr>
          <w:b/>
        </w:rPr>
        <w:t xml:space="preserve">Availability of funds</w:t>
      </w:r>
    </w:p>
    <w:p>
      <w:pPr>
        <w:jc w:val="both"/>
        <w:spacing w:before="100" w:after="100"/>
        <w:ind w:start="360"/>
        <w:ind w:firstLine="360"/>
      </w:pPr>
      <w:r>
        <w:rPr/>
      </w:r>
      <w:r>
        <w:rPr/>
      </w:r>
      <w:r>
        <w:t xml:space="preserve">Nothing in this chapter may be construed to mean that a department, agency, institution or program is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385,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1993, c. 385,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§3787.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§3787.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§3787.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