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w:t>
        <w:t xml:space="preserve">.  </w:t>
      </w:r>
      <w:r>
        <w:rPr>
          <w:b/>
        </w:rPr>
        <w:t xml:space="preserve">Notice to recipient</w:t>
      </w:r>
    </w:p>
    <w:p>
      <w:pPr>
        <w:jc w:val="both"/>
        <w:spacing w:before="100" w:after="100"/>
        <w:ind w:start="360"/>
        <w:ind w:firstLine="360"/>
      </w:pPr>
      <w:r>
        <w:rPr/>
      </w:r>
      <w:r>
        <w:rPr/>
      </w:r>
      <w:r>
        <w:t xml:space="preserve">A notice of overpayment issued by a payor of program benefits must inform the recipient of the collection remedies available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§3812. Notice to recipient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 Notice to recipient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§3812. NOTICE TO RECIPIENT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