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4036-A</w:t>
        <w:t xml:space="preserve">.  </w:t>
      </w:r>
      <w:r>
        <w:rPr>
          <w:b/>
        </w:rPr>
        <w:t xml:space="preserve">Criminal penalty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"order" means an order entered in a case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w:pPr>
        <w:jc w:val="both"/>
        <w:spacing w:before="100" w:after="0"/>
        <w:ind w:start="360"/>
        <w:ind w:firstLine="360"/>
      </w:pPr>
      <w:r>
        <w:rPr>
          <w:b/>
        </w:rPr>
        <w:t>2</w:t>
        <w:t xml:space="preserve">.  </w:t>
      </w:r>
      <w:r>
        <w:rPr>
          <w:b/>
        </w:rPr>
        <w:t xml:space="preserve">Crime committed.</w:t>
        <w:t xml:space="preserve"> </w:t>
      </w:r>
      <w:r>
        <w:t xml:space="preserve"> </w:t>
      </w:r>
      <w:r>
        <w:t xml:space="preserve">When disposition under </w:t>
      </w:r>
      <w:r>
        <w:t>section 4036</w:t>
      </w:r>
      <w:r>
        <w:t xml:space="preserve"> includes a provision that a party named in a petition not have contact with a child or children named in the petition or a provision that a party named in the petition not enter the residence of a child or children named in the petition, and the party has prior actual notice of the order containing those provisions, violation of that provision is a Class D crime.  The criminal sanctions in this subsection are in addition to and not in lieu of contempt powers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statutory provision to the contrary, an arrest for criminal violation of an order may be without warrant upon probable cause whether or not the violation is committed in the presence of the law enforcement officer.  The law enforcement officer may verify, if necessary, the existence of an order by telephone or radio communication with an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§4036-A. Criminal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§4036-A. Criminal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§4036-A. CRIMINAL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