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4038-A</w:t>
        <w:t xml:space="preserve">.  </w:t>
      </w:r>
      <w:r>
        <w:rPr>
          <w:b/>
        </w:rPr>
        <w:t xml:space="preserve">Transfer to District Court</w:t>
      </w:r>
    </w:p>
    <w:p>
      <w:pPr>
        <w:jc w:val="both"/>
        <w:spacing w:before="100" w:after="100"/>
        <w:ind w:start="360"/>
        <w:ind w:firstLine="360"/>
      </w:pPr>
      <w:r>
        <w:rPr/>
      </w:r>
      <w:r>
        <w:rPr/>
      </w:r>
      <w:r>
        <w:t xml:space="preserve">If a case is transferred to the District Court pursuant to </w:t>
      </w:r>
      <w:r>
        <w:t>Title 18‑C, section 9‑205</w:t>
      </w:r>
      <w:r>
        <w:t xml:space="preserve">, the court shall conduct a hearing and enter a dispositional order using the same standards as set forth in </w:t>
      </w:r>
      <w:r>
        <w:t>section 4036</w:t>
      </w:r>
      <w:r>
        <w:t xml:space="preserve">.  The court after the hearing and entering of a dispositional order shall conduct reviews in accordance with </w:t>
      </w:r>
      <w:r>
        <w:t>section 4038</w:t>
      </w:r>
      <w:r>
        <w:t xml:space="preserve"> and permanency planning hearings in accordance with </w:t>
      </w:r>
      <w:r>
        <w:t>section 4038‑B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§64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§11 (NEW). PL 1993, c. 686, §13 (AFF). PL 1995, c. 694, §D45 (AMD). PL 1995, c. 694, §E2 (AFF). PL 2005, c. 372, §5 (AMD). PL 2017, c. 402, Pt. C, §64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§4038-A. Transfer to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§4038-A. Transfer to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§4038-A. TRANSFER TO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