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4099-G</w:t>
        <w:t xml:space="preserve">.  </w:t>
      </w:r>
      <w:r>
        <w:rPr>
          <w:b/>
        </w:rPr>
        <w:t xml:space="preserve">Rules</w:t>
      </w:r>
    </w:p>
    <w:p>
      <w:pPr>
        <w:jc w:val="both"/>
        <w:spacing w:before="100" w:after="100"/>
        <w:ind w:start="360"/>
        <w:ind w:firstLine="360"/>
      </w:pPr>
      <w:r>
        <w:rPr/>
      </w:r>
      <w:r>
        <w:rPr/>
      </w:r>
      <w:r>
        <w:t xml:space="preserve">The department shall adopt rules as may be necessary for the effective administration of the comprehensive program under </w:t>
      </w:r>
      <w:r>
        <w:t>section 4099‑E</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