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4099-M</w:t>
        <w:t xml:space="preserve">.  </w:t>
      </w:r>
      <w:r>
        <w:rPr>
          <w:b/>
        </w:rPr>
        <w:t xml:space="preserve">Right to a hearing; appeal</w:t>
      </w:r>
    </w:p>
    <w:p>
      <w:pPr>
        <w:jc w:val="both"/>
        <w:spacing w:before="100" w:after="100"/>
        <w:ind w:start="360"/>
        <w:ind w:firstLine="360"/>
      </w:pPr>
      <w:r>
        <w:rPr/>
      </w:r>
      <w:r>
        <w:rPr/>
      </w:r>
      <w:r>
        <w:t xml:space="preserve">A person who is the subject of the decision in </w:t>
      </w:r>
      <w:r>
        <w:t>section 4099‑L, subsection 5</w:t>
      </w:r>
      <w:r>
        <w:t xml:space="preserve"> has the right to a hearing to appeal an indicated or substantiated finding of out-of-home abuse or neglect in accordance with the provisions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§4099-M. Right to a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§4099-M. Right to a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§4099-M. RIGHT TO A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