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4176</w:t>
        <w:t xml:space="preserve">.  </w:t>
      </w:r>
      <w:r>
        <w:rPr>
          <w:b/>
        </w:rPr>
        <w:t xml:space="preserve">Federal participation</w:t>
      </w:r>
    </w:p>
    <w:p>
      <w:pPr>
        <w:jc w:val="both"/>
        <w:spacing w:before="100" w:after="0"/>
        <w:ind w:start="360"/>
        <w:ind w:firstLine="360"/>
      </w:pPr>
      <w:r>
        <w:rPr>
          <w:b/>
        </w:rPr>
        <w:t>1</w:t>
        <w:t xml:space="preserve">.  </w:t>
      </w:r>
      <w:r>
        <w:rPr>
          <w:b/>
        </w:rPr>
        <w:t xml:space="preserve">Federal payments and aid.</w:t>
        <w:t xml:space="preserve"> </w:t>
      </w:r>
      <w:r>
        <w:t xml:space="preserve"> </w:t>
      </w:r>
      <w:r>
        <w:t xml:space="preserve">Consistent with federal law, the department, in connection with the administration of this chapter and any compact pursuant to this chapter, shall include in any state plan made pursuant to the Adoption Assistance and Child Welfare Act of 1980, Public Law 96-272, Titles IV-E and XIX of the United States Social Security Act, and any other applicable federal laws, the provision of adoption assistance and medical assistance for which the Federal Government pays some or all of the cost. The department shall apply for and administer all relevant federal aid,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§4176. Federal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§4176. Federal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§4176. FEDERAL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