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Financing of the interstate commission - Article 13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Annual assessment.</w:t>
        <w:t xml:space="preserve"> </w:t>
      </w:r>
      <w:r>
        <w:t xml:space="preserve"> </w:t>
      </w:r>
      <w:r>
        <w:t xml:space="preserve">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by its members each year.  The aggregate annual assessment amount must be allocated based upon a formula to be determined by the interstate commission, which shall adopt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obligations of any kind prior to securing the funds adequate to meet the same, nor may the interstate commission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Accounts of receipts and disbursements.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§4263. Financing of the interstate commission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Financing of the interstate commission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§4263. FINANCING OF THE INTERSTATE COMMISSION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