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7706</w:t>
        <w:t xml:space="preserve">.  </w:t>
      </w:r>
      <w:r>
        <w:rPr>
          <w:b/>
        </w:rPr>
        <w:t xml:space="preserve">Criminal background checks</w:t>
      </w:r>
    </w:p>
    <w:p>
      <w:pPr>
        <w:jc w:val="both"/>
        <w:spacing w:before="100" w:after="100"/>
        <w:ind w:start="360"/>
      </w:pPr>
      <w:r>
        <w:rPr>
          <w:b/>
        </w:rPr>
        <w:t>(REALLOCATED FROM TITLE 22, SECTION 7704)</w:t>
      </w:r>
    </w:p>
    <w:p>
      <w:pPr>
        <w:jc w:val="both"/>
        <w:spacing w:before="100" w:after="100"/>
        <w:ind w:start="360"/>
        <w:ind w:firstLine="360"/>
      </w:pPr>
      <w:r>
        <w:rPr/>
      </w:r>
      <w:r>
        <w:rPr/>
      </w:r>
      <w:r>
        <w:t xml:space="preserve">Beginning October 1, 2010, a facility or health care provider subject to the licensing or certification processes of </w:t>
      </w:r>
      <w:r>
        <w:t>chapter 1663</w:t>
      </w:r>
      <w:r>
        <w:t xml:space="preserve">, a nursery school subject to </w:t>
      </w:r>
      <w:r>
        <w:t>chapter 1675</w:t>
      </w:r>
      <w:r>
        <w:t xml:space="preserve"> or a hospice provider subject to </w:t>
      </w:r>
      <w:r>
        <w:t>chapter 1681</w:t>
      </w:r>
      <w:r>
        <w:t xml:space="preserve">, prior to hiring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The entity seeking to employ the individual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196, §13 (AMD); PL 2015, c. 299, §21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§61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§61 (RAL). PL 2015, c. 196, §13 (AMD). PL 2015, c. 299,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§7706. Criminal background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§7706. Criminal background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§7706. CRIMINAL BACKGROUND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