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Reports</w:t>
      </w:r>
    </w:p>
    <w:p>
      <w:pPr>
        <w:jc w:val="both"/>
        <w:spacing w:before="100" w:after="100"/>
        <w:ind w:start="360"/>
        <w:ind w:firstLine="360"/>
      </w:pPr>
      <w:r>
        <w:rPr/>
      </w:r>
      <w:r>
        <w:rPr/>
      </w:r>
      <w:r>
        <w:t xml:space="preserve">A person registered under </w:t>
      </w:r>
      <w:r>
        <w:t>section 774</w:t>
      </w:r>
      <w:r>
        <w:t xml:space="preserve"> or </w:t>
      </w:r>
      <w:r>
        <w:t>775</w:t>
      </w:r>
      <w:r>
        <w:t xml:space="preserve"> shall, within 45 days of the date the services are provided, notify the department in writing of the street address and zip code of the client and the results of any tests performed.  The department may, by rule, specify an alternative notification procedure and notification period and any additional data required in the report.</w:t>
      </w:r>
      <w:r>
        <w:t xml:space="preserve">  </w:t>
      </w:r>
      <w:r xmlns:wp="http://schemas.openxmlformats.org/drawingml/2010/wordprocessingDrawing" xmlns:w15="http://schemas.microsoft.com/office/word/2012/wordml">
        <w:rPr>
          <w:rFonts w:ascii="Arial" w:hAnsi="Arial" w:cs="Arial"/>
          <w:sz w:val="22"/>
          <w:szCs w:val="22"/>
        </w:rPr>
        <w:t xml:space="preserve">[PL 2009, c. 278,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§75 (COR). PL 2009, c. 278,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