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8603</w:t>
        <w:t xml:space="preserve">.  </w:t>
      </w:r>
      <w:r>
        <w:rPr>
          <w:b/>
        </w:rPr>
        <w:t xml:space="preserve">License</w:t>
      </w:r>
    </w:p>
    <w:p>
      <w:pPr>
        <w:jc w:val="both"/>
        <w:spacing w:before="100" w:after="100"/>
        <w:ind w:start="360"/>
        <w:ind w:firstLine="360"/>
      </w:pPr>
      <w:r>
        <w:rPr/>
      </w:r>
      <w:r>
        <w:rPr/>
      </w:r>
      <w:r>
        <w:t xml:space="preserve">Beginning on July 1, 1988, no person or combination of persons may operate an adult day care program in this State without having obtained a license to operate an adult day care program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389,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§8603.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§8603.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§8603.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