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8605</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an adult day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a facility has complied with the applicable fire safety provisions referred to in </w:t>
      </w:r>
      <w:r>
        <w:t>subsection 2</w:t>
      </w:r>
      <w:r>
        <w:t xml:space="preserve"> and </w:t>
      </w:r>
      <w:r>
        <w:t>Title 25, section 2452</w:t>
      </w:r>
      <w:r>
        <w:t xml:space="preserve"> and must be furnished to the department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must be furnished to the department prior to the issuance of full licensure and must indicate that the adult day care program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adult day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B</w:t>
        <w:t xml:space="preserve">.  </w:t>
      </w:r>
      <w:r>
        <w:rPr/>
      </w:r>
      <w:r>
        <w:t xml:space="preserve">The group day care homes section, if the adult day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C</w:t>
        <w:t xml:space="preserve">.  </w:t>
      </w:r>
      <w:r>
        <w:rPr/>
      </w:r>
      <w:r>
        <w:t xml:space="preserve">The child day care section, if the adult day care program has more than 13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1997, c. 728, §15 (AMD). PL 2021, c. 398, Pt. QQ,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§8605.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§8605.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§8605.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