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8945</w:t>
        <w:t xml:space="preserve">.  </w:t>
      </w:r>
      <w:r>
        <w:rPr>
          <w:b/>
        </w:rPr>
        <w:t xml:space="preserve">Report</w:t>
      </w:r>
    </w:p>
    <w:p>
      <w:pPr>
        <w:jc w:val="both"/>
        <w:spacing w:before="100" w:after="100"/>
        <w:ind w:start="360"/>
        <w:ind w:firstLine="360"/>
      </w:pPr>
      <w:r>
        <w:rPr/>
      </w:r>
      <w:r>
        <w:rPr/>
      </w:r>
      <w:r>
        <w:t xml:space="preserve">By the last business day of each year the department shall report to the joint standing committee of the Legislature having jurisdiction over health and human services matters regarding the operation of the program and the central registry.  The report must include information on any findings and activities of the department with regard to birth defects and a summary of statistical information from the program and the central registry.  The report may include recommendations from the department to improve the operation of the program and the central registry.</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