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9063</w:t>
        <w:t xml:space="preserve">.  </w:t>
      </w:r>
      <w:r>
        <w:rPr>
          <w:b/>
        </w:rPr>
        <w:t xml:space="preserve">Administrative penalties</w:t>
      </w:r>
    </w:p>
    <w:p>
      <w:pPr>
        <w:jc w:val="both"/>
        <w:spacing w:before="100" w:after="0"/>
        <w:ind w:start="360"/>
        <w:ind w:firstLine="360"/>
      </w:pPr>
      <w:r>
        <w:rPr>
          <w:b/>
        </w:rPr>
        <w:t>1</w:t>
        <w:t xml:space="preserve">.  </w:t>
      </w:r>
      <w:r>
        <w:rPr>
          <w:b/>
        </w:rPr>
        <w:t xml:space="preserve">Licensing actions.</w:t>
        <w:t xml:space="preserve"> </w:t>
      </w:r>
      <w:r>
        <w:t xml:space="preserve"> </w:t>
      </w:r>
      <w:r>
        <w:t xml:space="preserve">The penalties and fines described in this chapter do not limit the State's licensing authority to pursue an adverse action against an employer who fails to comply with or who commits a civil violation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2</w:t>
        <w:t xml:space="preserve">.  </w:t>
      </w:r>
      <w:r>
        <w:rPr>
          <w:b/>
        </w:rPr>
        <w:t xml:space="preserve">Licensing penalties.</w:t>
        <w:t xml:space="preserve"> </w:t>
      </w:r>
      <w:r>
        <w:t xml:space="preserve"> </w:t>
      </w:r>
      <w:r>
        <w:t xml:space="preserve">An employer's failure to comply with the requirements of this chapter may be subject to the following administrative penalties in addition to any other remedies authorized by law:</w:t>
      </w:r>
    </w:p>
    <w:p>
      <w:pPr>
        <w:jc w:val="both"/>
        <w:spacing w:before="100" w:after="0"/>
        <w:ind w:start="720"/>
      </w:pPr>
      <w:r>
        <w:rPr/>
        <w:t>A</w:t>
        <w:t xml:space="preserve">.  </w:t>
      </w:r>
      <w:r>
        <w:rPr/>
      </w:r>
      <w:r>
        <w:t xml:space="preserve">Denial of a license or certification or registration needed to provide services to protected individuals;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Termination or revocation of the license or certification or registration relied upon to provide services to protected individuals;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Revocation of rate agreements or service contracts with the State relevant to services authorized by the license or certification.</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§9063. Administrative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§9063. Administrative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§9063. ADMINISTRATIVE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