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REAL ESTATE</w:t>
      </w:r>
    </w:p>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607.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