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Towns authorized to raise money</w:t>
      </w:r>
    </w:p>
    <w:p>
      <w:pPr>
        <w:jc w:val="both"/>
        <w:spacing w:before="100" w:after="100"/>
        <w:ind w:start="360"/>
        <w:ind w:firstLine="360"/>
      </w:pPr>
      <w:r>
        <w:rPr/>
      </w:r>
      <w:r>
        <w:rPr/>
      </w:r>
      <w:r>
        <w:t xml:space="preserve">To carry into effect </w:t>
      </w:r>
      <w:r>
        <w:t>section 1003</w:t>
      </w:r>
      <w:r>
        <w:t xml:space="preserve">, towns are authorized to raise and appropriate money therefor.</w:t>
      </w:r>
      <w:r>
        <w:t xml:space="preserve">  </w:t>
      </w:r>
      <w:r xmlns:wp="http://schemas.openxmlformats.org/drawingml/2010/wordprocessingDrawing" xmlns:w15="http://schemas.microsoft.com/office/word/2012/wordml">
        <w:rPr>
          <w:rFonts w:ascii="Arial" w:hAnsi="Arial" w:cs="Arial"/>
          <w:sz w:val="22"/>
          <w:szCs w:val="22"/>
        </w:rPr>
        <w:t xml:space="preserve">[PL 1981, c. 492,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Towns authorized to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Towns authorized to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§1004. TOWNS AUTHORIZED TO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