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154-F</w:t>
        <w:t xml:space="preserve">.  </w:t>
      </w:r>
      <w:r>
        <w:rPr>
          <w:b/>
        </w:rPr>
        <w:t xml:space="preserve">Special benefits</w:t>
      </w:r>
    </w:p>
    <w:p>
      <w:pPr>
        <w:jc w:val="both"/>
        <w:spacing w:before="100" w:after="100"/>
        <w:ind w:start="360"/>
        <w:ind w:firstLine="360"/>
      </w:pPr>
      <w:r>
        <w:rPr/>
      </w:r>
      <w:r>
        <w:rPr/>
      </w:r>
      <w:r>
        <w:t xml:space="preserve">In determining just compensation where special benefits are found, the owner or owners of record shall be compensated at least for the fair market value of the property and any rights or interest therein taken.</w:t>
      </w:r>
      <w:r>
        <w:t xml:space="preserve">  </w:t>
      </w:r>
      <w:r xmlns:wp="http://schemas.openxmlformats.org/drawingml/2010/wordprocessingDrawing" xmlns:w15="http://schemas.microsoft.com/office/word/2012/wordml">
        <w:rPr>
          <w:rFonts w:ascii="Arial" w:hAnsi="Arial" w:cs="Arial"/>
          <w:sz w:val="22"/>
          <w:szCs w:val="22"/>
        </w:rPr>
        <w:t xml:space="preserve">[PL 1975, c. 431, §9-A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431, §§9-A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§154-F. Special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§154-F. Special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§154-F. SPECIAL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