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§1853. STATE INFRASTRUCTURE BANK;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