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Application of proceeds of bonds or notes in anticipation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§1969. APPLICATION OF PROCEEDS OF BONDS OR NOTES IN ANTICIPATION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