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§1973. MAINTENANCE OF THE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