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2063</w:t>
        <w:t xml:space="preserve">.  </w:t>
      </w:r>
      <w:r>
        <w:rPr>
          <w:b/>
        </w:rPr>
        <w:t xml:space="preserve">Hearings; appeals; stay</w:t>
      </w:r>
    </w:p>
    <w:p>
      <w:pPr>
        <w:jc w:val="both"/>
        <w:spacing w:before="100" w:after="100"/>
        <w:ind w:start="360"/>
        <w:ind w:firstLine="360"/>
      </w:pPr>
      <w:r>
        <w:rPr/>
      </w:r>
      <w:r>
        <w:rPr/>
      </w:r>
      <w:r>
        <w:t xml:space="preserve">Parties interested may appear, jointly or severally, at the time of hearing before the commissioners on a petition for laying out, altering, grading or discontinuing a highway. Any such party may appeal from their decision thereon within 30 days after it has been placed on file to the Superior Court in said county, which appeal may be prosecuted by him or by any other party who so appeared. All further proceedings before the commissioners shall be stayed until a decision is made in the appellate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§2063. Hearings; appeals; stay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§2063. Hearings; appeals; stay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§2063. HEARINGS; APPEALS; STAY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